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F1" w:rsidRPr="009E33F1" w:rsidRDefault="009E33F1" w:rsidP="009E33F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9E33F1">
        <w:rPr>
          <w:rFonts w:ascii="Arial" w:hAnsi="Arial" w:cs="Arial"/>
          <w:b/>
          <w:bCs/>
          <w:color w:val="000000"/>
          <w:sz w:val="23"/>
          <w:szCs w:val="23"/>
        </w:rPr>
        <w:t>Фонд развития промышленности Иркутской области</w:t>
      </w:r>
    </w:p>
    <w:p w:rsidR="009E33F1" w:rsidRPr="009E33F1" w:rsidRDefault="009E33F1" w:rsidP="009E33F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9E33F1" w:rsidRPr="009E33F1" w:rsidRDefault="009E33F1" w:rsidP="009E33F1">
      <w:pPr>
        <w:shd w:val="clear" w:color="auto" w:fill="FFFFFF"/>
        <w:spacing w:before="100" w:beforeAutospacing="1"/>
        <w:ind w:firstLine="709"/>
        <w:jc w:val="both"/>
        <w:rPr>
          <w:color w:val="000000"/>
        </w:rPr>
      </w:pPr>
      <w:bookmarkStart w:id="0" w:name="_GoBack"/>
      <w:bookmarkEnd w:id="0"/>
      <w:r w:rsidRPr="009E33F1">
        <w:rPr>
          <w:color w:val="000000"/>
          <w:sz w:val="28"/>
          <w:szCs w:val="28"/>
        </w:rPr>
        <w:t>Фонд развития промышленности Иркутской области (далее – Фонд) является региональным государственным фондом развития промышленности. Фонд создан в соответствии с распоряжением Правительства Иркутской области от 7 ноября 2016 года № 651-рп в целях создания и развития современной промышленной инфраструктуры, инфраструктуры поддержки деятельности в сфере промышленности на территории Иркутской области.</w:t>
      </w:r>
    </w:p>
    <w:p w:rsidR="009E33F1" w:rsidRPr="009E33F1" w:rsidRDefault="009E33F1" w:rsidP="009E33F1">
      <w:pPr>
        <w:shd w:val="clear" w:color="auto" w:fill="FFFFFF"/>
        <w:spacing w:before="100" w:beforeAutospacing="1" w:line="270" w:lineRule="atLeast"/>
        <w:ind w:firstLine="709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>Совместно с ФГАУ «Российский фонд технологического развития» (Фонд развития промышленности) Фонд предлагает льготные условия кредитования для реализации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</w:t>
      </w:r>
    </w:p>
    <w:p w:rsidR="009E33F1" w:rsidRPr="009E33F1" w:rsidRDefault="009E33F1" w:rsidP="009E33F1">
      <w:pPr>
        <w:shd w:val="clear" w:color="auto" w:fill="FFFFFF"/>
        <w:spacing w:before="100" w:beforeAutospacing="1" w:after="120" w:line="270" w:lineRule="atLeast"/>
        <w:ind w:firstLine="709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>Заем может быть предоставлен на следующих условиях: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33F1" w:rsidRPr="009E33F1" w:rsidTr="009E33F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Процентная ставка займа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>5% годовых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Сумма займа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 xml:space="preserve">от 20 до 100 </w:t>
            </w:r>
            <w:proofErr w:type="spellStart"/>
            <w:proofErr w:type="gramStart"/>
            <w:r w:rsidRPr="009E33F1">
              <w:rPr>
                <w:sz w:val="25"/>
                <w:szCs w:val="25"/>
              </w:rPr>
              <w:t>млн</w:t>
            </w:r>
            <w:proofErr w:type="spellEnd"/>
            <w:proofErr w:type="gramEnd"/>
            <w:r w:rsidRPr="009E33F1">
              <w:rPr>
                <w:sz w:val="25"/>
                <w:szCs w:val="25"/>
              </w:rPr>
              <w:t xml:space="preserve"> рублей, но не более 50% общего бюджета проекта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Общий бюджет проекта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 xml:space="preserve">не менее 40 </w:t>
            </w:r>
            <w:proofErr w:type="spellStart"/>
            <w:proofErr w:type="gramStart"/>
            <w:r w:rsidRPr="009E33F1">
              <w:rPr>
                <w:sz w:val="25"/>
                <w:szCs w:val="25"/>
              </w:rPr>
              <w:t>млн</w:t>
            </w:r>
            <w:proofErr w:type="spellEnd"/>
            <w:proofErr w:type="gramEnd"/>
            <w:r w:rsidRPr="009E33F1">
              <w:rPr>
                <w:sz w:val="25"/>
                <w:szCs w:val="25"/>
              </w:rPr>
              <w:t xml:space="preserve"> рублей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Срок займа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не более 5 лет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Гашение основного долга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 xml:space="preserve">2 </w:t>
            </w:r>
            <w:proofErr w:type="gramStart"/>
            <w:r w:rsidRPr="009E33F1">
              <w:rPr>
                <w:sz w:val="25"/>
                <w:szCs w:val="25"/>
              </w:rPr>
              <w:t>последних</w:t>
            </w:r>
            <w:proofErr w:type="gramEnd"/>
            <w:r w:rsidRPr="009E33F1">
              <w:rPr>
                <w:sz w:val="25"/>
                <w:szCs w:val="25"/>
              </w:rPr>
              <w:t xml:space="preserve"> года срока займа, ежеквартально, равными долями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Целевой объем продаж новой продукции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>не менее 50% от суммы займа в год, начиная со 2 года серийного производства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>Финансирование проекта за счет собственных средств Заявителя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>не менее 15% от суммы займа</w:t>
            </w:r>
          </w:p>
        </w:tc>
      </w:tr>
      <w:tr w:rsidR="009E33F1" w:rsidRPr="009E33F1" w:rsidTr="009E33F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5"/>
                <w:szCs w:val="25"/>
              </w:rPr>
              <w:t xml:space="preserve">Обязательства по </w:t>
            </w:r>
            <w:proofErr w:type="spellStart"/>
            <w:r w:rsidRPr="009E33F1">
              <w:rPr>
                <w:sz w:val="25"/>
                <w:szCs w:val="25"/>
              </w:rPr>
              <w:t>софинансированию</w:t>
            </w:r>
            <w:proofErr w:type="spellEnd"/>
            <w:r w:rsidRPr="009E33F1">
              <w:rPr>
                <w:sz w:val="25"/>
                <w:szCs w:val="25"/>
              </w:rPr>
              <w:t xml:space="preserve"> проекта со стороны Заявителя, частных инвесторов или за счет банковских кредитов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F1" w:rsidRPr="009E33F1" w:rsidRDefault="009E33F1" w:rsidP="009E33F1">
            <w:pPr>
              <w:spacing w:before="100" w:beforeAutospacing="1"/>
              <w:jc w:val="both"/>
            </w:pPr>
            <w:r w:rsidRPr="009E33F1">
              <w:rPr>
                <w:sz w:val="25"/>
                <w:szCs w:val="25"/>
              </w:rPr>
              <w:t>не менее 50% общего бюджета проекта</w:t>
            </w:r>
          </w:p>
        </w:tc>
      </w:tr>
    </w:tbl>
    <w:p w:rsidR="009E33F1" w:rsidRPr="009E33F1" w:rsidRDefault="009E33F1" w:rsidP="009E33F1">
      <w:pPr>
        <w:shd w:val="clear" w:color="auto" w:fill="FFFFFF"/>
        <w:spacing w:before="120" w:after="120" w:line="270" w:lineRule="atLeast"/>
        <w:ind w:firstLine="709"/>
        <w:jc w:val="both"/>
        <w:rPr>
          <w:color w:val="000000"/>
        </w:rPr>
      </w:pPr>
      <w:proofErr w:type="gramStart"/>
      <w:r w:rsidRPr="009E33F1">
        <w:rPr>
          <w:color w:val="000000"/>
          <w:sz w:val="28"/>
          <w:szCs w:val="28"/>
        </w:rPr>
        <w:t xml:space="preserve">Кроме того, если целью проекта является организация и/или модернизация производства комплектующих изделий, применяемых в составе промышленной продукции, перечисленной в приложении к постановлению Правительства Российской Федерации от 17 июля 2015 года № 719, процентная ставка займа снижается до 1% годовых в течение первых 3-х лет займа, минимальный бюджет проекта – до 28,6 млн. рублей, а </w:t>
      </w:r>
      <w:proofErr w:type="spellStart"/>
      <w:r w:rsidRPr="009E33F1">
        <w:rPr>
          <w:color w:val="000000"/>
          <w:sz w:val="28"/>
          <w:szCs w:val="28"/>
        </w:rPr>
        <w:t>софинансирование</w:t>
      </w:r>
      <w:proofErr w:type="spellEnd"/>
      <w:r w:rsidRPr="009E33F1">
        <w:rPr>
          <w:color w:val="000000"/>
          <w:sz w:val="28"/>
          <w:szCs w:val="28"/>
        </w:rPr>
        <w:t xml:space="preserve"> проекта со стороны Заявителя, частных инвесторов</w:t>
      </w:r>
      <w:proofErr w:type="gramEnd"/>
      <w:r w:rsidRPr="009E33F1">
        <w:rPr>
          <w:color w:val="000000"/>
          <w:sz w:val="28"/>
          <w:szCs w:val="28"/>
        </w:rPr>
        <w:t xml:space="preserve"> или за счет банковских кредитов – до 30%.</w:t>
      </w:r>
    </w:p>
    <w:p w:rsidR="009E33F1" w:rsidRPr="009E33F1" w:rsidRDefault="009E33F1" w:rsidP="009E33F1">
      <w:pPr>
        <w:shd w:val="clear" w:color="auto" w:fill="FFFFFF"/>
        <w:spacing w:before="100" w:beforeAutospacing="1" w:after="120" w:line="270" w:lineRule="atLeast"/>
        <w:ind w:firstLine="709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 xml:space="preserve">Заем может быть предоставлен для реализации проектов по следующим отраслевым направлениям (в соответствии с «ОК 029-2014 </w:t>
      </w:r>
      <w:r w:rsidRPr="009E33F1">
        <w:rPr>
          <w:color w:val="000000"/>
          <w:sz w:val="28"/>
          <w:szCs w:val="28"/>
        </w:rPr>
        <w:lastRenderedPageBreak/>
        <w:t>(КДЕС</w:t>
      </w:r>
      <w:proofErr w:type="gramStart"/>
      <w:r w:rsidRPr="009E33F1">
        <w:rPr>
          <w:color w:val="000000"/>
          <w:sz w:val="28"/>
          <w:szCs w:val="28"/>
        </w:rPr>
        <w:t xml:space="preserve"> Р</w:t>
      </w:r>
      <w:proofErr w:type="gramEnd"/>
      <w:r w:rsidRPr="009E33F1">
        <w:rPr>
          <w:color w:val="000000"/>
          <w:sz w:val="28"/>
          <w:szCs w:val="28"/>
        </w:rPr>
        <w:t xml:space="preserve">ед. 2). </w:t>
      </w:r>
      <w:proofErr w:type="gramStart"/>
      <w:r w:rsidRPr="009E33F1">
        <w:rPr>
          <w:color w:val="000000"/>
          <w:sz w:val="28"/>
          <w:szCs w:val="28"/>
        </w:rPr>
        <w:t>Общероссийский классификатор видов экономической деятельности»):</w:t>
      </w:r>
      <w:proofErr w:type="gramEnd"/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384"/>
        <w:gridCol w:w="8216"/>
      </w:tblGrid>
      <w:tr w:rsidR="009E33F1" w:rsidRPr="009E33F1" w:rsidTr="009E33F1">
        <w:tc>
          <w:tcPr>
            <w:tcW w:w="9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b/>
                <w:bCs/>
                <w:i/>
                <w:iCs/>
                <w:sz w:val="26"/>
                <w:szCs w:val="26"/>
              </w:rPr>
              <w:t>Раздел C «Обрабатывающие производства»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b/>
                <w:bCs/>
                <w:sz w:val="26"/>
                <w:szCs w:val="26"/>
              </w:rPr>
              <w:t>№ класса ОКВЭД</w:t>
            </w:r>
            <w:proofErr w:type="gramStart"/>
            <w:r w:rsidRPr="009E33F1">
              <w:rPr>
                <w:b/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 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пищевых продуктов в части промышленных биотехнологий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текстильных изделий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одежды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кожи и изделий из кожи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бумаги и бумажных изделий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металлургическое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мебели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Производство прочих готовых изделий</w:t>
            </w:r>
          </w:p>
        </w:tc>
      </w:tr>
      <w:tr w:rsidR="009E33F1" w:rsidRPr="009E33F1" w:rsidTr="009E33F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F1" w:rsidRPr="009E33F1" w:rsidRDefault="009E33F1" w:rsidP="009E33F1">
            <w:pPr>
              <w:spacing w:before="100" w:beforeAutospacing="1"/>
            </w:pPr>
            <w:r w:rsidRPr="009E33F1">
              <w:rPr>
                <w:sz w:val="26"/>
                <w:szCs w:val="26"/>
              </w:rPr>
              <w:t>Ремонт и монтаж машин и оборудования</w:t>
            </w:r>
          </w:p>
        </w:tc>
      </w:tr>
    </w:tbl>
    <w:p w:rsidR="009E33F1" w:rsidRPr="009E33F1" w:rsidRDefault="009E33F1" w:rsidP="009E33F1">
      <w:pPr>
        <w:shd w:val="clear" w:color="auto" w:fill="FFFFFF"/>
        <w:spacing w:before="120" w:line="270" w:lineRule="atLeast"/>
        <w:ind w:firstLine="709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>Заёмщиком фонда может быть субъект деятельности в сфере промышленности (юридическое лицо или индивидуальный предприниматель), зарегистрированный и осуществляющий деятельность в сфере промышленности на территории Иркутской области.</w:t>
      </w:r>
    </w:p>
    <w:p w:rsidR="009E33F1" w:rsidRPr="009E33F1" w:rsidRDefault="009E33F1" w:rsidP="009E33F1">
      <w:pPr>
        <w:shd w:val="clear" w:color="auto" w:fill="FFFFFF"/>
        <w:spacing w:before="120" w:line="270" w:lineRule="atLeast"/>
        <w:ind w:firstLine="709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>Заем имеет целевой характер и может быть направлен на приобретение промышленного оборудования, инжиниринг, сертификацию, испытания, патентование, приобретение прав на результаты интеллектуальной деятельности, а также – в размере до 15 % от суммы займа – на общехозяйственные расходы. На средства займа не могут быть профинансированы строительство или капитальный ремонт зданий и сооружений, приобретение недвижимого имущества, научно-исследовательские работы. Для предоставления займа требуется обеспечение в объеме, не менее суммы займа и суммы процентов за весь его срок.</w:t>
      </w:r>
    </w:p>
    <w:p w:rsidR="009E33F1" w:rsidRPr="009E33F1" w:rsidRDefault="009E33F1" w:rsidP="009E33F1">
      <w:pPr>
        <w:shd w:val="clear" w:color="auto" w:fill="FFFFFF"/>
        <w:spacing w:before="100" w:beforeAutospacing="1" w:line="270" w:lineRule="atLeast"/>
        <w:ind w:firstLine="709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lastRenderedPageBreak/>
        <w:t>Подробная информация о предоставлении займов, документы для заёмщиков и методические материалы размещены на сайте Фонда развития промышленности по адресу </w:t>
      </w:r>
      <w:hyperlink r:id="rId4" w:history="1">
        <w:r w:rsidRPr="009E33F1">
          <w:rPr>
            <w:color w:val="002971"/>
            <w:sz w:val="28"/>
            <w:u w:val="single"/>
          </w:rPr>
          <w:t>http://frprf.ru/zaymy/regiony/</w:t>
        </w:r>
      </w:hyperlink>
      <w:r w:rsidRPr="009E33F1">
        <w:rPr>
          <w:color w:val="000000"/>
          <w:sz w:val="28"/>
          <w:szCs w:val="28"/>
        </w:rPr>
        <w:t>.</w:t>
      </w:r>
    </w:p>
    <w:p w:rsidR="009E33F1" w:rsidRPr="009E33F1" w:rsidRDefault="009E33F1" w:rsidP="009E33F1">
      <w:pPr>
        <w:shd w:val="clear" w:color="auto" w:fill="FFFFFF"/>
        <w:spacing w:before="100" w:beforeAutospacing="1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>Телефон Фонда: +7 (3952) 71-60-85</w:t>
      </w:r>
    </w:p>
    <w:p w:rsidR="009E33F1" w:rsidRPr="009E33F1" w:rsidRDefault="009E33F1" w:rsidP="009E33F1">
      <w:pPr>
        <w:shd w:val="clear" w:color="auto" w:fill="FFFFFF"/>
        <w:spacing w:before="100" w:beforeAutospacing="1"/>
        <w:jc w:val="both"/>
        <w:rPr>
          <w:color w:val="000000"/>
        </w:rPr>
      </w:pPr>
      <w:r w:rsidRPr="009E33F1">
        <w:rPr>
          <w:color w:val="000000"/>
          <w:sz w:val="28"/>
          <w:szCs w:val="28"/>
        </w:rPr>
        <w:t>Адрес электронной почты Фонда: </w:t>
      </w:r>
      <w:hyperlink r:id="rId5" w:history="1">
        <w:r w:rsidRPr="009E33F1">
          <w:rPr>
            <w:color w:val="002971"/>
            <w:sz w:val="28"/>
            <w:u w:val="single"/>
            <w:lang w:val="en-US"/>
          </w:rPr>
          <w:t>info</w:t>
        </w:r>
        <w:r w:rsidRPr="009E33F1">
          <w:rPr>
            <w:color w:val="002971"/>
            <w:sz w:val="28"/>
            <w:u w:val="single"/>
          </w:rPr>
          <w:t>@</w:t>
        </w:r>
        <w:proofErr w:type="spellStart"/>
        <w:r w:rsidRPr="009E33F1">
          <w:rPr>
            <w:color w:val="002971"/>
            <w:sz w:val="28"/>
            <w:u w:val="single"/>
            <w:lang w:val="en-US"/>
          </w:rPr>
          <w:t>frpirk</w:t>
        </w:r>
        <w:proofErr w:type="spellEnd"/>
        <w:r w:rsidRPr="009E33F1">
          <w:rPr>
            <w:color w:val="002971"/>
            <w:sz w:val="28"/>
            <w:u w:val="single"/>
          </w:rPr>
          <w:t>.</w:t>
        </w:r>
        <w:proofErr w:type="spellStart"/>
        <w:r w:rsidRPr="009E33F1">
          <w:rPr>
            <w:color w:val="002971"/>
            <w:sz w:val="28"/>
            <w:u w:val="single"/>
            <w:lang w:val="en-US"/>
          </w:rPr>
          <w:t>ru</w:t>
        </w:r>
        <w:proofErr w:type="spellEnd"/>
      </w:hyperlink>
    </w:p>
    <w:p w:rsidR="009E33F1" w:rsidRPr="009E33F1" w:rsidRDefault="009E33F1" w:rsidP="009E33F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hyperlink r:id="rId6" w:history="1">
        <w:r w:rsidRPr="009E33F1">
          <w:rPr>
            <w:rFonts w:ascii="Arial" w:hAnsi="Arial" w:cs="Arial"/>
            <w:color w:val="002971"/>
            <w:sz w:val="23"/>
            <w:u w:val="single"/>
          </w:rPr>
          <w:t>https://www.facebook.com/frpirk</w:t>
        </w:r>
      </w:hyperlink>
    </w:p>
    <w:p w:rsidR="009E33F1" w:rsidRPr="009E33F1" w:rsidRDefault="009E33F1" w:rsidP="009E33F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</w:p>
    <w:p w:rsidR="00990254" w:rsidRDefault="00990254"/>
    <w:sectPr w:rsidR="00990254" w:rsidSect="0024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F1"/>
    <w:rsid w:val="002474EE"/>
    <w:rsid w:val="00645608"/>
    <w:rsid w:val="00990254"/>
    <w:rsid w:val="009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styleId="a4">
    <w:name w:val="Hyperlink"/>
    <w:basedOn w:val="a0"/>
    <w:uiPriority w:val="99"/>
    <w:semiHidden/>
    <w:unhideWhenUsed/>
    <w:rsid w:val="009E33F1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E33F1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uiPriority w:val="99"/>
    <w:semiHidden/>
    <w:rsid w:val="009E33F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rpirk" TargetMode="External"/><Relationship Id="rId5" Type="http://schemas.openxmlformats.org/officeDocument/2006/relationships/hyperlink" Target="mailto:info@frpirk.ru" TargetMode="External"/><Relationship Id="rId4" Type="http://schemas.openxmlformats.org/officeDocument/2006/relationships/hyperlink" Target="http://frprf.ru/zaymy/regi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2020-10-23T03:41:00Z</dcterms:created>
  <dcterms:modified xsi:type="dcterms:W3CDTF">2020-10-23T03:42:00Z</dcterms:modified>
</cp:coreProperties>
</file>